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F5" w:rsidRDefault="00B121F5" w:rsidP="00B121F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Уст</w:t>
      </w:r>
      <w:proofErr w:type="gramStart"/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>над-</w:t>
      </w:r>
      <w:proofErr w:type="spellStart"/>
      <w:r>
        <w:rPr>
          <w:b/>
          <w:i/>
          <w:sz w:val="28"/>
          <w:szCs w:val="28"/>
        </w:rPr>
        <w:t>Лабем</w:t>
      </w:r>
      <w:proofErr w:type="spellEnd"/>
    </w:p>
    <w:p w:rsidR="00B121F5" w:rsidRDefault="00B121F5" w:rsidP="00B121F5">
      <w:pPr>
        <w:rPr>
          <w:rFonts w:cs="Arial"/>
          <w:color w:val="222222"/>
          <w:lang w:val="uk-UA"/>
        </w:rPr>
      </w:pPr>
      <w:r>
        <w:rPr>
          <w:lang w:val="uk-UA"/>
        </w:rPr>
        <w:t>Усті-над-</w:t>
      </w:r>
      <w:proofErr w:type="spellStart"/>
      <w:r>
        <w:rPr>
          <w:lang w:val="uk-UA"/>
        </w:rPr>
        <w:t>Лабем</w:t>
      </w:r>
      <w:proofErr w:type="spellEnd"/>
      <w:r>
        <w:rPr>
          <w:lang w:val="uk-UA"/>
        </w:rPr>
        <w:t xml:space="preserve"> – місто на півночі Чехії, адміністративний центр </w:t>
      </w:r>
      <w:proofErr w:type="spellStart"/>
      <w:r>
        <w:rPr>
          <w:lang w:val="uk-UA"/>
        </w:rPr>
        <w:t>Устецького</w:t>
      </w:r>
      <w:proofErr w:type="spellEnd"/>
      <w:r>
        <w:rPr>
          <w:lang w:val="uk-UA"/>
        </w:rPr>
        <w:t xml:space="preserve"> краю, з населенням більш ніж 90 тис. чоловік – дев’яте за чисельністю населення місто країни. Усті-над-</w:t>
      </w:r>
      <w:proofErr w:type="spellStart"/>
      <w:r>
        <w:rPr>
          <w:lang w:val="uk-UA"/>
        </w:rPr>
        <w:t>Лабем</w:t>
      </w:r>
      <w:proofErr w:type="spellEnd"/>
      <w:r>
        <w:rPr>
          <w:lang w:val="uk-UA"/>
        </w:rPr>
        <w:t xml:space="preserve"> поділяється на 4 міські райони</w:t>
      </w:r>
      <w:r>
        <w:rPr>
          <w:rFonts w:cs="Arial"/>
          <w:color w:val="222222"/>
          <w:lang w:val="uk-UA"/>
        </w:rPr>
        <w:t xml:space="preserve">: </w:t>
      </w:r>
      <w:proofErr w:type="spellStart"/>
      <w:r>
        <w:rPr>
          <w:rFonts w:cs="Arial"/>
          <w:color w:val="222222"/>
          <w:lang w:val="uk-UA"/>
        </w:rPr>
        <w:t>Нештеміце</w:t>
      </w:r>
      <w:proofErr w:type="spellEnd"/>
      <w:r>
        <w:rPr>
          <w:rFonts w:cs="Arial"/>
          <w:color w:val="222222"/>
          <w:lang w:val="uk-UA"/>
        </w:rPr>
        <w:t xml:space="preserve"> (</w:t>
      </w:r>
      <w:proofErr w:type="spellStart"/>
      <w:r>
        <w:rPr>
          <w:rFonts w:cs="Arial"/>
          <w:i/>
          <w:iCs/>
          <w:color w:val="222222"/>
          <w:lang w:val="uk-UA"/>
        </w:rPr>
        <w:t>Neštěmice</w:t>
      </w:r>
      <w:proofErr w:type="spellEnd"/>
      <w:r>
        <w:rPr>
          <w:rFonts w:cs="Arial"/>
          <w:color w:val="222222"/>
          <w:lang w:val="uk-UA"/>
        </w:rPr>
        <w:t xml:space="preserve">), </w:t>
      </w:r>
      <w:proofErr w:type="spellStart"/>
      <w:r>
        <w:rPr>
          <w:rFonts w:cs="Arial"/>
          <w:color w:val="222222"/>
          <w:lang w:val="uk-UA"/>
        </w:rPr>
        <w:t>Северні</w:t>
      </w:r>
      <w:proofErr w:type="spellEnd"/>
      <w:r>
        <w:rPr>
          <w:rFonts w:cs="Arial"/>
          <w:color w:val="222222"/>
          <w:lang w:val="uk-UA"/>
        </w:rPr>
        <w:t>-Тераса (</w:t>
      </w:r>
      <w:proofErr w:type="spellStart"/>
      <w:r>
        <w:rPr>
          <w:rFonts w:cs="Arial"/>
          <w:i/>
          <w:iCs/>
          <w:color w:val="222222"/>
          <w:lang w:val="uk-UA"/>
        </w:rPr>
        <w:t>Severní</w:t>
      </w:r>
      <w:proofErr w:type="spellEnd"/>
      <w:r>
        <w:rPr>
          <w:rFonts w:cs="Arial"/>
          <w:i/>
          <w:iCs/>
          <w:color w:val="222222"/>
          <w:lang w:val="uk-UA"/>
        </w:rPr>
        <w:t xml:space="preserve"> </w:t>
      </w:r>
      <w:proofErr w:type="spellStart"/>
      <w:r>
        <w:rPr>
          <w:rFonts w:cs="Arial"/>
          <w:i/>
          <w:iCs/>
          <w:color w:val="222222"/>
          <w:lang w:val="uk-UA"/>
        </w:rPr>
        <w:t>Terasa</w:t>
      </w:r>
      <w:proofErr w:type="spellEnd"/>
      <w:r>
        <w:rPr>
          <w:rFonts w:cs="Arial"/>
          <w:color w:val="222222"/>
          <w:lang w:val="uk-UA"/>
        </w:rPr>
        <w:t xml:space="preserve">), </w:t>
      </w:r>
      <w:proofErr w:type="spellStart"/>
      <w:r>
        <w:rPr>
          <w:rFonts w:cs="Arial"/>
          <w:color w:val="222222"/>
          <w:lang w:val="uk-UA"/>
        </w:rPr>
        <w:t>Стршеков</w:t>
      </w:r>
      <w:proofErr w:type="spellEnd"/>
      <w:r>
        <w:rPr>
          <w:rFonts w:cs="Arial"/>
          <w:color w:val="222222"/>
          <w:lang w:val="uk-UA"/>
        </w:rPr>
        <w:t xml:space="preserve"> (</w:t>
      </w:r>
      <w:proofErr w:type="spellStart"/>
      <w:r>
        <w:rPr>
          <w:rFonts w:cs="Arial"/>
          <w:i/>
          <w:iCs/>
          <w:color w:val="222222"/>
          <w:lang w:val="uk-UA"/>
        </w:rPr>
        <w:t>Střekov</w:t>
      </w:r>
      <w:proofErr w:type="spellEnd"/>
      <w:r>
        <w:rPr>
          <w:rFonts w:cs="Arial"/>
          <w:color w:val="222222"/>
          <w:lang w:val="uk-UA"/>
        </w:rPr>
        <w:t xml:space="preserve">), </w:t>
      </w:r>
      <w:proofErr w:type="spellStart"/>
      <w:r>
        <w:rPr>
          <w:rFonts w:cs="Arial"/>
          <w:color w:val="222222"/>
          <w:lang w:val="uk-UA"/>
        </w:rPr>
        <w:t>Центрум</w:t>
      </w:r>
      <w:proofErr w:type="spellEnd"/>
      <w:r>
        <w:rPr>
          <w:rFonts w:cs="Arial"/>
          <w:color w:val="222222"/>
          <w:lang w:val="uk-UA"/>
        </w:rPr>
        <w:t xml:space="preserve"> (</w:t>
      </w:r>
      <w:proofErr w:type="spellStart"/>
      <w:r>
        <w:rPr>
          <w:rFonts w:cs="Arial"/>
          <w:i/>
          <w:iCs/>
          <w:color w:val="222222"/>
          <w:lang w:val="uk-UA"/>
        </w:rPr>
        <w:t>Centrum</w:t>
      </w:r>
      <w:proofErr w:type="spellEnd"/>
      <w:r>
        <w:rPr>
          <w:rFonts w:cs="Arial"/>
          <w:color w:val="222222"/>
          <w:lang w:val="uk-UA"/>
        </w:rPr>
        <w:t>).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Місто розташовано у дуже мальовничій місцевості, де поєднуються гори, ліси та озера. Річка Лаба (Ельба), яка дала назву місту, є його найбільшою прикрасою. Недалеко розташований відомий курорт Карлови Вари. Не даремно ці місця називають Чеською Швейцарією.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Місто відоме як великий промисловий центр Чеської республіки. Тут розвинені хімічна, машинобудівна, текстильна та харчова галузі. Однак треба зауважити, що шаблонне уявлення про промислове місто, як брудного та задимленого, - це не про Усті-над-</w:t>
      </w:r>
      <w:proofErr w:type="spellStart"/>
      <w:r>
        <w:rPr>
          <w:lang w:val="uk-UA"/>
        </w:rPr>
        <w:t>Лабем</w:t>
      </w:r>
      <w:proofErr w:type="spellEnd"/>
      <w:r>
        <w:rPr>
          <w:lang w:val="uk-UA"/>
        </w:rPr>
        <w:t xml:space="preserve">. Підприємства </w:t>
      </w:r>
      <w:r w:rsidR="00D07CAC">
        <w:rPr>
          <w:lang w:val="uk-UA"/>
        </w:rPr>
        <w:t>оснащені сучасними системами очистки заводських викидів та стоків. З точки зору чистоти навколишнього середовища місто практично ідеальне.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Не менш важливим фактором, який впливає на розвиток Усті-над-</w:t>
      </w:r>
      <w:proofErr w:type="spellStart"/>
      <w:r>
        <w:rPr>
          <w:lang w:val="uk-UA"/>
        </w:rPr>
        <w:t>Лабем</w:t>
      </w:r>
      <w:proofErr w:type="spellEnd"/>
      <w:r>
        <w:rPr>
          <w:lang w:val="uk-UA"/>
        </w:rPr>
        <w:t>, є близькість до кордону з Німеччиною. Через нього проходить важлива залізнична магістраль Прага-Дрезден-Берлін.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Географічне положення зіграло важливу роль в історії міста. Протягом сторіч його населення складалося у різних пропорціях з чехів, німців, євреїв, що вплинуло на формування своєрідного середовища  та суміші різних культур.</w:t>
      </w:r>
      <w:r w:rsidR="00D07CAC">
        <w:rPr>
          <w:lang w:val="uk-UA"/>
        </w:rPr>
        <w:t xml:space="preserve"> Мешканці міста привітні, толерантні, гостинні.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 xml:space="preserve">У 1991 р. в місті був відкритий університет Яна </w:t>
      </w:r>
      <w:proofErr w:type="spellStart"/>
      <w:r>
        <w:rPr>
          <w:lang w:val="uk-UA"/>
        </w:rPr>
        <w:t>Евангеліста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Пуркинє</w:t>
      </w:r>
      <w:proofErr w:type="spellEnd"/>
      <w:r>
        <w:rPr>
          <w:lang w:val="uk-UA"/>
        </w:rPr>
        <w:t xml:space="preserve"> (UJEP). Він названий на честь видатного  чеського фізіолога, анатома, антрополога та педагога, основна діяльність якого приходиться на першу половину ХІХ сторіччя. Крім того, </w:t>
      </w:r>
      <w:proofErr w:type="spellStart"/>
      <w:r>
        <w:rPr>
          <w:lang w:val="uk-UA"/>
        </w:rPr>
        <w:t>Пуркинє</w:t>
      </w:r>
      <w:proofErr w:type="spellEnd"/>
      <w:r>
        <w:rPr>
          <w:lang w:val="uk-UA"/>
        </w:rPr>
        <w:t xml:space="preserve"> був відомий як громадський та політичний діяч, він виступав за політичну та культурну самостійність слов’янських народів.  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Враховуючи специфіку міста, при університеті відкрито слов’яно-германське відділення, котре отримало широке міжнародне визнання.</w:t>
      </w:r>
      <w:r w:rsidR="00060731">
        <w:rPr>
          <w:lang w:val="uk-UA"/>
        </w:rPr>
        <w:t xml:space="preserve"> Тут сформована краща у Чехії, сильна школа вивчення німецької мови.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 xml:space="preserve">Тут навчаються більш ніж 12 тисяч студентів, </w:t>
      </w:r>
      <w:r w:rsidR="00E01D51">
        <w:rPr>
          <w:lang w:val="uk-UA"/>
        </w:rPr>
        <w:t xml:space="preserve">крім навчання в аудиторіях у програму включена </w:t>
      </w:r>
      <w:proofErr w:type="spellStart"/>
      <w:r w:rsidR="00E01D51">
        <w:rPr>
          <w:lang w:val="uk-UA"/>
        </w:rPr>
        <w:t>обов</w:t>
      </w:r>
      <w:proofErr w:type="spellEnd"/>
      <w:r w:rsidR="00E01D51" w:rsidRPr="00E01D51">
        <w:t>’</w:t>
      </w:r>
      <w:proofErr w:type="spellStart"/>
      <w:r w:rsidR="00E01D51">
        <w:rPr>
          <w:lang w:val="uk-UA"/>
        </w:rPr>
        <w:t>язкова</w:t>
      </w:r>
      <w:proofErr w:type="spellEnd"/>
      <w:r w:rsidR="00E01D51">
        <w:rPr>
          <w:lang w:val="uk-UA"/>
        </w:rPr>
        <w:t xml:space="preserve"> практика за фахом, можливе стажування у інших країнах. </w:t>
      </w:r>
      <w:r>
        <w:rPr>
          <w:lang w:val="uk-UA"/>
        </w:rPr>
        <w:t xml:space="preserve">Навчання ведеться на чеській та англійській мовах. 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t>Студентам пропонується 65 програм та 192 курсів.</w:t>
      </w:r>
    </w:p>
    <w:p w:rsidR="00B121F5" w:rsidRDefault="00E01D51" w:rsidP="00B121F5">
      <w:pPr>
        <w:rPr>
          <w:lang w:val="uk-UA"/>
        </w:rPr>
      </w:pP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ВНЗі</w:t>
      </w:r>
      <w:proofErr w:type="spellEnd"/>
      <w:r>
        <w:rPr>
          <w:b/>
          <w:lang w:val="uk-UA"/>
        </w:rPr>
        <w:t xml:space="preserve"> є такі</w:t>
      </w:r>
      <w:r w:rsidR="00B121F5">
        <w:rPr>
          <w:b/>
          <w:lang w:val="uk-UA"/>
        </w:rPr>
        <w:t xml:space="preserve"> факультети</w:t>
      </w:r>
      <w:r w:rsidR="00B121F5">
        <w:rPr>
          <w:lang w:val="uk-UA"/>
        </w:rPr>
        <w:t>: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Соціально-економічний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Мистецтва та дизайну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Виробничих технологій та управління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Наук про навколишнє середовище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Філософський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Педагогічний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Природничих наук</w:t>
      </w:r>
    </w:p>
    <w:p w:rsidR="00B121F5" w:rsidRDefault="00B121F5" w:rsidP="00B121F5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>Інститут медичних досліджень</w:t>
      </w:r>
    </w:p>
    <w:p w:rsidR="00B121F5" w:rsidRDefault="00B121F5" w:rsidP="00B121F5">
      <w:pPr>
        <w:rPr>
          <w:lang w:val="uk-UA"/>
        </w:rPr>
      </w:pPr>
      <w:r>
        <w:rPr>
          <w:lang w:val="uk-UA"/>
        </w:rPr>
        <w:lastRenderedPageBreak/>
        <w:t>Завдяки програмі ERASMUS+ студенти мають можливість виїжджати за обміном до закордонних університетів або, відповідно, пройти стажування на підприємстві, у учбовому або дослідницькому центрі</w:t>
      </w:r>
      <w:r w:rsidR="00E01D51">
        <w:rPr>
          <w:lang w:val="uk-UA"/>
        </w:rPr>
        <w:t xml:space="preserve"> з великою вірогідністю наступного працевлаштування </w:t>
      </w:r>
      <w:r w:rsidR="00311526">
        <w:rPr>
          <w:lang w:val="uk-UA"/>
        </w:rPr>
        <w:t>в цій організації</w:t>
      </w:r>
      <w:r>
        <w:rPr>
          <w:lang w:val="uk-UA"/>
        </w:rPr>
        <w:t xml:space="preserve">. Щороку UJEP пропонує своїм студентам 200 стипендій ERASMUS+. </w:t>
      </w:r>
    </w:p>
    <w:p w:rsidR="00B121F5" w:rsidRPr="00BF7644" w:rsidRDefault="00B121F5" w:rsidP="00B121F5">
      <w:pPr>
        <w:rPr>
          <w:b/>
          <w:lang w:val="uk-UA"/>
        </w:rPr>
      </w:pPr>
      <w:r>
        <w:rPr>
          <w:lang w:val="uk-UA"/>
        </w:rPr>
        <w:t xml:space="preserve">При університеті </w:t>
      </w:r>
      <w:proofErr w:type="spellStart"/>
      <w:r>
        <w:rPr>
          <w:lang w:val="uk-UA"/>
        </w:rPr>
        <w:t>Пуркинє</w:t>
      </w:r>
      <w:proofErr w:type="spellEnd"/>
      <w:r>
        <w:rPr>
          <w:lang w:val="uk-UA"/>
        </w:rPr>
        <w:t xml:space="preserve"> працюють різноманітні освітні центри, які доповнюють багатофункціональність цього ВНЗ. Серед них – </w:t>
      </w:r>
      <w:r w:rsidRPr="00BF7644">
        <w:rPr>
          <w:b/>
          <w:lang w:val="uk-UA"/>
        </w:rPr>
        <w:t xml:space="preserve">Центр безперервного навчання, котрий спільно з Освітнім центром </w:t>
      </w:r>
      <w:proofErr w:type="spellStart"/>
      <w:r w:rsidRPr="00BF7644">
        <w:rPr>
          <w:b/>
          <w:lang w:val="uk-UA"/>
        </w:rPr>
        <w:t>Association</w:t>
      </w:r>
      <w:proofErr w:type="spellEnd"/>
      <w:r w:rsidRPr="00BF7644">
        <w:rPr>
          <w:b/>
          <w:lang w:val="uk-UA"/>
        </w:rPr>
        <w:t xml:space="preserve"> проводить курси чеської мови для іноземців</w:t>
      </w:r>
      <w:r w:rsidR="00BF7644" w:rsidRPr="00BF7644">
        <w:rPr>
          <w:b/>
          <w:lang w:val="uk-UA"/>
        </w:rPr>
        <w:t>, у тому числі абітурієнтів з України</w:t>
      </w:r>
      <w:r w:rsidRPr="00BF7644">
        <w:rPr>
          <w:b/>
          <w:lang w:val="uk-UA"/>
        </w:rPr>
        <w:t>.</w:t>
      </w:r>
    </w:p>
    <w:p w:rsidR="00BF7644" w:rsidRDefault="00BF7644" w:rsidP="00B121F5">
      <w:pPr>
        <w:rPr>
          <w:lang w:val="uk-UA"/>
        </w:rPr>
      </w:pPr>
      <w:r>
        <w:rPr>
          <w:lang w:val="uk-UA"/>
        </w:rPr>
        <w:t xml:space="preserve">Для </w:t>
      </w:r>
      <w:r w:rsidR="002D30AC">
        <w:rPr>
          <w:lang w:val="uk-UA"/>
        </w:rPr>
        <w:t xml:space="preserve">хлопців та дівчат з Дніпра зайняття на </w:t>
      </w:r>
      <w:proofErr w:type="spellStart"/>
      <w:r w:rsidR="002D30AC">
        <w:rPr>
          <w:lang w:val="uk-UA"/>
        </w:rPr>
        <w:t>мовних</w:t>
      </w:r>
      <w:proofErr w:type="spellEnd"/>
      <w:r w:rsidR="002D30AC">
        <w:rPr>
          <w:lang w:val="uk-UA"/>
        </w:rPr>
        <w:t xml:space="preserve"> курсах в Усті-над-</w:t>
      </w:r>
      <w:proofErr w:type="spellStart"/>
      <w:r w:rsidR="002D30AC">
        <w:rPr>
          <w:lang w:val="uk-UA"/>
        </w:rPr>
        <w:t>Лабем</w:t>
      </w:r>
      <w:proofErr w:type="spellEnd"/>
      <w:r w:rsidR="002D30AC">
        <w:rPr>
          <w:lang w:val="uk-UA"/>
        </w:rPr>
        <w:t xml:space="preserve"> є найбільш бюджетним варіантом в порівнянні з аналогічними курсами у Празі. Програма включає 720 годин (34 тижні) чеської мови. Всі викладачі є носіями мови.</w:t>
      </w:r>
    </w:p>
    <w:p w:rsidR="002D30AC" w:rsidRDefault="002D30AC" w:rsidP="00B121F5">
      <w:pPr>
        <w:rPr>
          <w:lang w:val="uk-UA"/>
        </w:rPr>
      </w:pPr>
      <w:r>
        <w:rPr>
          <w:lang w:val="uk-UA"/>
        </w:rPr>
        <w:t>Для кращого засвоєння учнями специфічної тематичної термінології існує практика відвідування лекцій за вибраним профілем в . Ці зайняття безкоштовні. Вони допомагають швидше адаптуватися у новій атмосфері та спрощують освоєння знань на першому курсі навчання в університеті.</w:t>
      </w:r>
    </w:p>
    <w:p w:rsidR="002D30AC" w:rsidRDefault="002D30AC" w:rsidP="00B121F5">
      <w:pPr>
        <w:rPr>
          <w:lang w:val="uk-UA"/>
        </w:rPr>
      </w:pPr>
      <w:r>
        <w:rPr>
          <w:lang w:val="uk-UA"/>
        </w:rPr>
        <w:t>Що стосується проживання, то учні центру</w:t>
      </w:r>
      <w:r w:rsidR="00C5745A">
        <w:rPr>
          <w:lang w:val="uk-UA"/>
        </w:rPr>
        <w:t xml:space="preserve"> </w:t>
      </w:r>
      <w:r w:rsidR="00C5745A">
        <w:t>«</w:t>
      </w:r>
      <w:r w:rsidR="00C5745A">
        <w:rPr>
          <w:lang w:val="en-US"/>
        </w:rPr>
        <w:t>ASSOCIATION</w:t>
      </w:r>
      <w:r w:rsidR="00C5745A">
        <w:t>»</w:t>
      </w:r>
      <w:r>
        <w:rPr>
          <w:lang w:val="uk-UA"/>
        </w:rPr>
        <w:t xml:space="preserve"> мають</w:t>
      </w:r>
      <w:r w:rsidR="00C5745A">
        <w:rPr>
          <w:lang w:val="uk-UA"/>
        </w:rPr>
        <w:t xml:space="preserve"> селитися у державному гуртожитку </w:t>
      </w:r>
      <w:r w:rsidR="00C5745A" w:rsidRPr="00AD66D7">
        <w:t>UJEP</w:t>
      </w:r>
      <w:r w:rsidR="00C5745A">
        <w:rPr>
          <w:lang w:val="uk-UA"/>
        </w:rPr>
        <w:t xml:space="preserve"> у кімнатах по 2 особи або у блоці 2+2 з усіма зручностями. Гуртожиток знаходиться поряд з учбовим корпусом, що економить час. Вартість проживання – біля 150 євро за місяць (для порівняння, у Празі аналогічне проживання буде коштувати біля 200)</w:t>
      </w:r>
    </w:p>
    <w:p w:rsidR="00C5745A" w:rsidRDefault="00C5745A" w:rsidP="00B121F5">
      <w:pPr>
        <w:rPr>
          <w:lang w:val="uk-UA"/>
        </w:rPr>
      </w:pPr>
      <w:r>
        <w:rPr>
          <w:lang w:val="uk-UA"/>
        </w:rPr>
        <w:t>Приймаюча сторона організовує трансфер до Усті-над-</w:t>
      </w:r>
      <w:proofErr w:type="spellStart"/>
      <w:r>
        <w:rPr>
          <w:lang w:val="uk-UA"/>
        </w:rPr>
        <w:t>Лабем</w:t>
      </w:r>
      <w:proofErr w:type="spellEnd"/>
      <w:r>
        <w:rPr>
          <w:lang w:val="uk-UA"/>
        </w:rPr>
        <w:t xml:space="preserve"> з Праги для всіх своїх студентів.</w:t>
      </w:r>
    </w:p>
    <w:p w:rsidR="00C32FBF" w:rsidRDefault="00C5745A" w:rsidP="00B121F5">
      <w:pPr>
        <w:rPr>
          <w:lang w:val="uk-UA"/>
        </w:rPr>
      </w:pPr>
      <w:r>
        <w:rPr>
          <w:lang w:val="uk-UA"/>
        </w:rPr>
        <w:t xml:space="preserve">Навчання в Освітньому центрі </w:t>
      </w:r>
      <w:r w:rsidR="00B17FC3">
        <w:t>«</w:t>
      </w:r>
      <w:r w:rsidR="00B17FC3">
        <w:rPr>
          <w:lang w:val="en-US"/>
        </w:rPr>
        <w:t>ASSOCIATION</w:t>
      </w:r>
      <w:r w:rsidR="00B17FC3">
        <w:t xml:space="preserve">» </w:t>
      </w:r>
      <w:r>
        <w:rPr>
          <w:lang w:val="uk-UA"/>
        </w:rPr>
        <w:t xml:space="preserve">поділяється </w:t>
      </w:r>
      <w:r w:rsidR="00B17FC3">
        <w:rPr>
          <w:lang w:val="uk-UA"/>
        </w:rPr>
        <w:t>на два семестри. Перший – з вересня по грудень; другий – з січня по травень. За цей час</w:t>
      </w:r>
      <w:r w:rsidR="00C32FBF">
        <w:rPr>
          <w:lang w:val="uk-UA"/>
        </w:rPr>
        <w:t xml:space="preserve"> учні вивчають чеську мову, складають іспити та отримують відповідний сертифікат, який дозволяє поступати в університет та інші </w:t>
      </w:r>
      <w:proofErr w:type="spellStart"/>
      <w:r w:rsidR="00C32FBF">
        <w:rPr>
          <w:lang w:val="uk-UA"/>
        </w:rPr>
        <w:t>ВНЗи</w:t>
      </w:r>
      <w:proofErr w:type="spellEnd"/>
      <w:r w:rsidR="00C32FBF">
        <w:rPr>
          <w:lang w:val="uk-UA"/>
        </w:rPr>
        <w:t xml:space="preserve"> Чехії.</w:t>
      </w:r>
    </w:p>
    <w:p w:rsidR="00C5745A" w:rsidRPr="009B0B80" w:rsidRDefault="00283D8A" w:rsidP="00B121F5">
      <w:pPr>
        <w:rPr>
          <w:lang w:val="uk-UA"/>
        </w:rPr>
      </w:pPr>
      <w:r>
        <w:rPr>
          <w:lang w:val="uk-UA"/>
        </w:rPr>
        <w:t xml:space="preserve">Крім цього за час навчання у центрі ведеться кропітка робота по підбору університету, факультету, спеціальності, складання іспитів по </w:t>
      </w:r>
      <w:proofErr w:type="spellStart"/>
      <w:r>
        <w:rPr>
          <w:lang w:val="uk-UA"/>
        </w:rPr>
        <w:t>нострифікації</w:t>
      </w:r>
      <w:proofErr w:type="spellEnd"/>
      <w:r>
        <w:rPr>
          <w:lang w:val="uk-UA"/>
        </w:rPr>
        <w:t>, підготовці до вступних екзаменів, СЦІО-тестам (якщо такі потребують)</w:t>
      </w:r>
      <w:r w:rsidR="00140DD9">
        <w:rPr>
          <w:lang w:val="uk-UA"/>
        </w:rPr>
        <w:t xml:space="preserve">, подачі документів, вирішенню різних виникаючих проблем. Дружний колектив викладачів та адміністрації </w:t>
      </w:r>
      <w:r w:rsidR="00140DD9" w:rsidRPr="00194735">
        <w:rPr>
          <w:lang w:val="uk-UA"/>
        </w:rPr>
        <w:t>«</w:t>
      </w:r>
      <w:r w:rsidR="00140DD9">
        <w:rPr>
          <w:lang w:val="en-US"/>
        </w:rPr>
        <w:t>ASSOCIATION</w:t>
      </w:r>
      <w:r w:rsidR="00140DD9" w:rsidRPr="00194735">
        <w:rPr>
          <w:lang w:val="uk-UA"/>
        </w:rPr>
        <w:t xml:space="preserve">» </w:t>
      </w:r>
      <w:r w:rsidR="00140DD9">
        <w:rPr>
          <w:lang w:val="uk-UA"/>
        </w:rPr>
        <w:t>постійно піклуються про кожного учня річних мовних курсів.</w:t>
      </w:r>
    </w:p>
    <w:p w:rsidR="003403AB" w:rsidRPr="009B0B80" w:rsidRDefault="003403AB" w:rsidP="00B121F5">
      <w:pPr>
        <w:rPr>
          <w:lang w:val="uk-UA"/>
        </w:rPr>
        <w:sectPr w:rsidR="003403AB" w:rsidRPr="009B0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3AB" w:rsidRPr="003403AB" w:rsidRDefault="003403AB" w:rsidP="003403AB">
      <w:pPr>
        <w:jc w:val="center"/>
        <w:rPr>
          <w:sz w:val="24"/>
          <w:szCs w:val="24"/>
          <w:lang w:val="uk-UA"/>
        </w:rPr>
      </w:pPr>
      <w:r w:rsidRPr="003403AB">
        <w:rPr>
          <w:b/>
          <w:sz w:val="24"/>
          <w:szCs w:val="24"/>
          <w:lang w:val="uk-UA"/>
        </w:rPr>
        <w:lastRenderedPageBreak/>
        <w:t>Перелік спеціальностей університету</w:t>
      </w: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2272"/>
        <w:gridCol w:w="3080"/>
        <w:gridCol w:w="773"/>
        <w:gridCol w:w="842"/>
        <w:gridCol w:w="773"/>
        <w:gridCol w:w="842"/>
      </w:tblGrid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Спеціальність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Спеціалізація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Бакалаврат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стратура</w:t>
            </w:r>
            <w:proofErr w:type="spellEnd"/>
          </w:p>
        </w:tc>
      </w:tr>
      <w:tr w:rsidR="00D1375E" w:rsidRPr="0034608F" w:rsidTr="00C04A7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vAlign w:val="center"/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vAlign w:val="center"/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vAlign w:val="center"/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7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</w:t>
            </w:r>
          </w:p>
        </w:tc>
      </w:tr>
      <w:tr w:rsidR="00D1375E" w:rsidRPr="0034608F" w:rsidTr="00C04A74">
        <w:trPr>
          <w:cantSplit/>
          <w:trHeight w:val="573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before="240"/>
              <w:jc w:val="center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BB01A4">
              <w:rPr>
                <w:rFonts w:ascii="Tahoma" w:hAnsi="Tahoma" w:cs="Tahoma"/>
                <w:sz w:val="28"/>
                <w:szCs w:val="28"/>
                <w:lang w:val="uk-UA"/>
              </w:rPr>
              <w:t>Соціально-економічний факультет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8"/>
                <w:szCs w:val="28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8"/>
                <w:szCs w:val="28"/>
                <w:lang w:val="uk-UA" w:eastAsia="ru-RU"/>
              </w:rPr>
              <w:t>Економіка та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Підприємницька економіка та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rPr>
          <w:trHeight w:val="456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Фінансовий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Торгівля та маркетинг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Економічна політика та управління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Регіональний розвиток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rPr>
          <w:trHeight w:val="616"/>
        </w:trPr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Соціальна політика та соціальні роботи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before="240"/>
              <w:jc w:val="center"/>
              <w:rPr>
                <w:rFonts w:ascii="Tahoma" w:hAnsi="Tahoma" w:cs="Tahoma"/>
                <w:sz w:val="32"/>
                <w:szCs w:val="32"/>
                <w:lang w:val="uk-UA"/>
              </w:rPr>
            </w:pPr>
            <w:r w:rsidRPr="00BB01A4">
              <w:rPr>
                <w:rFonts w:ascii="Tahoma" w:hAnsi="Tahoma" w:cs="Tahoma"/>
                <w:sz w:val="32"/>
                <w:szCs w:val="32"/>
                <w:lang w:val="uk-UA"/>
              </w:rPr>
              <w:t>Факультет мистецтва та дизайну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before="720"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36"/>
                <w:szCs w:val="36"/>
                <w:lang w:val="uk-UA" w:eastAsia="ru-RU"/>
              </w:rPr>
              <w:t>Прикладне мистецтво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Дизайн (інтер’єр; кераміка; дизайн продукції)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Фотографія та проміжна творчість (прикладна та рекламна фотографія; фотографія; інтерактивні медіа; </w:t>
            </w:r>
            <w:proofErr w:type="spellStart"/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перформативні</w:t>
            </w:r>
            <w:proofErr w:type="spellEnd"/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медіа; медіа, орієнтовані на час)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Графічний та візуальний дизайн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Прикладне мистецтво (природні матеріали; скло; текстильна творчість)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Кураторське дослідження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Образотворче мистецтво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Фотограф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</w:t>
            </w:r>
          </w:p>
        </w:tc>
      </w:tr>
      <w:tr w:rsidR="00D1375E" w:rsidRPr="0034608F" w:rsidTr="00D1375E">
        <w:trPr>
          <w:trHeight w:val="8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before="240"/>
              <w:jc w:val="center"/>
              <w:rPr>
                <w:rFonts w:ascii="Tahoma" w:hAnsi="Tahoma" w:cs="Tahoma"/>
                <w:lang w:val="uk-UA"/>
              </w:rPr>
            </w:pPr>
            <w:r w:rsidRPr="00BB01A4">
              <w:rPr>
                <w:rFonts w:ascii="Tahoma" w:hAnsi="Tahoma" w:cs="Tahoma"/>
                <w:lang w:val="uk-UA"/>
              </w:rPr>
              <w:t>Факультет виробничих технологій та управління</w:t>
            </w:r>
          </w:p>
          <w:p w:rsidR="00D1375E" w:rsidRPr="00BB01A4" w:rsidRDefault="00D1375E" w:rsidP="00C04A74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Машинобудівні технології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Управління виробництвом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Підготовка та управління виробництвом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Енергетика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Теплоенергетика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Машино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будівництво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Виробнича безпека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Матеріали та технології у транспорті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Спеціалізація у педагогіці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Технічна підготовка з акцентом на освіту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jc w:val="center"/>
              <w:rPr>
                <w:rFonts w:ascii="Tahoma" w:hAnsi="Tahoma" w:cs="Tahoma"/>
                <w:lang w:val="uk-UA"/>
              </w:rPr>
            </w:pPr>
            <w:r w:rsidRPr="00BB01A4">
              <w:rPr>
                <w:rFonts w:ascii="Tahoma" w:hAnsi="Tahoma" w:cs="Tahoma"/>
                <w:lang w:val="uk-UA"/>
              </w:rPr>
              <w:t>Факультет наук про навколишнє середовище</w:t>
            </w:r>
          </w:p>
          <w:p w:rsidR="00D1375E" w:rsidRPr="00BB01A4" w:rsidRDefault="00D1375E" w:rsidP="00C04A74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BB01A4">
              <w:rPr>
                <w:rFonts w:ascii="Tahoma" w:hAnsi="Tahoma" w:cs="Tahoma"/>
                <w:sz w:val="20"/>
                <w:szCs w:val="20"/>
                <w:lang w:val="uk-UA"/>
              </w:rPr>
              <w:t>Екологія та охорона навколишнього середовища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83E27">
              <w:rPr>
                <w:rFonts w:ascii="Tahoma" w:hAnsi="Tahoma" w:cs="Tahoma"/>
                <w:sz w:val="20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Обіг з відходами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Відновлення ландшафтів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Інженерна екологія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Охорона </w:t>
            </w:r>
            <w:r w:rsidRPr="00C83E27">
              <w:rPr>
                <w:rFonts w:ascii="Tahoma" w:hAnsi="Tahoma" w:cs="Tahoma"/>
                <w:sz w:val="20"/>
                <w:szCs w:val="20"/>
                <w:lang w:val="uk-UA"/>
              </w:rPr>
              <w:t>навколишнього середовища</w:t>
            </w: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у промисловості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83E2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83E2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Водне господарство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</w:tcPr>
          <w:p w:rsidR="00D1375E" w:rsidRPr="00646643" w:rsidRDefault="00D1375E" w:rsidP="00C04A74">
            <w:pPr>
              <w:pStyle w:val="a5"/>
              <w:ind w:left="0"/>
              <w:jc w:val="center"/>
              <w:rPr>
                <w:lang w:val="uk-UA"/>
              </w:rPr>
            </w:pPr>
            <w:r w:rsidRPr="00646643">
              <w:rPr>
                <w:lang w:val="uk-UA"/>
              </w:rPr>
              <w:t>Філософський</w:t>
            </w:r>
            <w:r w:rsidRPr="00646643">
              <w:rPr>
                <w:rFonts w:ascii="Tahoma" w:eastAsia="Times New Roman" w:hAnsi="Tahoma" w:cs="Tahoma"/>
                <w:lang w:eastAsia="ru-RU"/>
              </w:rPr>
              <w:t xml:space="preserve"> факультет</w:t>
            </w:r>
          </w:p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Міжкультурна германістика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rPr>
          <w:trHeight w:val="666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Культурно-історичне релігієзнавств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rPr>
          <w:trHeight w:val="431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Німецька мова для шкільної роботи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21CA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21CA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Історія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Істор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я з акцентом на викладання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Документування </w:t>
            </w:r>
            <w:proofErr w:type="spellStart"/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пам’ятків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F36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F36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Основи гуманітарної освіти - політологія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5008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Основи гуманітарної освіти - естетика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5008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Філософія + історія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5008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Філософія + 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5008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Філософія +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5008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Історія + німецька мова та література з акцентом на викладання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008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Історія + 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FA1AE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FA1AE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Історія +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FA1AE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 з акцентом на викладання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A1AE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Історія +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443F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 + німецька мова та література з акцентом на викладання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 + 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443F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Політологія + історія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443F5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Політологія + філософія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131B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Політологія +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Політологія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+ 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131B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Політична філософія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131B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Викладання історії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середній школі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Викладання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ої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мов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та літератур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 в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середній школі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131B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Історія + німецька мова для другої ступені базової школи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131B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Цивільне право + історія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Цивільне право 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+ 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Викладання історії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та 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ої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мов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та літератур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 в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середній школі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Викладання історії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та суспільних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наук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середній школі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Викладання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суспільних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наук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та 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німецьк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ої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мов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443F5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та літератур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 в</w:t>
            </w:r>
            <w:r w:rsidRPr="00E131B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середній школі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</w:tr>
      <w:tr w:rsidR="00D1375E" w:rsidRPr="0034608F" w:rsidTr="00C04A74">
        <w:trPr>
          <w:trHeight w:val="93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C21CA2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36"/>
                <w:szCs w:val="36"/>
                <w:lang w:val="uk-UA" w:eastAsia="ru-RU"/>
              </w:rPr>
            </w:pPr>
            <w:r w:rsidRPr="00C21CA2">
              <w:rPr>
                <w:rFonts w:ascii="Tahoma" w:eastAsia="Times New Roman" w:hAnsi="Tahoma" w:cs="Tahoma"/>
                <w:sz w:val="36"/>
                <w:szCs w:val="36"/>
                <w:lang w:val="uk-UA" w:eastAsia="ru-RU"/>
              </w:rPr>
              <w:t>Педагогічний факультет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21CA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21CA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Філологія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21CA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21CA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Ділова російська мова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C21CA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C21CA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Чеська мова для іноземців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B473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Викладання англійської мови та літератури у комбінації з різними предметами (англійська мова та література, чеська мова та література, німецька мова та література,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уз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ич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е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иховання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стор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я,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суспільні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науки,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ехн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ч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е в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иховання</w:t>
            </w:r>
            <w:r w:rsidRPr="003B473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культура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та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культура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та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F31C78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F31C7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Фізична культура у комбінації з різними предметами (чеська мова та література, географія, історія, суспільні науки, німецька мова та література, англійська мова та література, технічне виховання)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11F9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11F9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Активний спосіб життя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Педагог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11F9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11F9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Педагогіка вільного часу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11F9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11F9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Педагогіка в спеціальних педагогічних інститутах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11F9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11F9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Спеціалізація у педагогіці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11F95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11F95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Соціальне педагогічне сприяння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C268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C268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Соціальна педагогіка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F5B87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F5B8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Шк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8F5B87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льний менеджмент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A46D6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A46D6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Психологічно-педагогічна пристосованість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E4CE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Вихователь дитячого саду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E4CE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Англійська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E4CE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Чеська мова та література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3E4CE6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Комбінації предметів (чеська мова та література, філософ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я, історія, музичне виховання, німецька мова та література, суспільні науки, хорове диригування, образотворче мистецтво)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0441BA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0441BA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Музичне виховання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0441BA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0441BA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Популяризація музики та організація музичного життя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О</w:t>
            </w:r>
            <w:r w:rsidRPr="003E4CE6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бразотворче мистецтво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0441BA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0441BA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Вчитель середньої школи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E84D11" w:rsidRDefault="00D1375E" w:rsidP="00C04A74">
            <w:pPr>
              <w:jc w:val="center"/>
              <w:rPr>
                <w:rFonts w:ascii="Tahoma" w:hAnsi="Tahoma" w:cs="Tahoma"/>
                <w:lang w:val="uk-UA"/>
              </w:rPr>
            </w:pPr>
            <w:r w:rsidRPr="00E84D11">
              <w:rPr>
                <w:rFonts w:ascii="Tahoma" w:hAnsi="Tahoma" w:cs="Tahoma"/>
                <w:lang w:val="uk-UA"/>
              </w:rPr>
              <w:t>Факультет природничих наук</w:t>
            </w:r>
          </w:p>
          <w:p w:rsidR="00D1375E" w:rsidRPr="00453512" w:rsidRDefault="00D1375E" w:rsidP="00C04A74">
            <w:pPr>
              <w:spacing w:after="300" w:line="240" w:lineRule="auto"/>
              <w:ind w:left="113" w:right="113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5707EE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5707E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Природничо-наукове дослідження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Навчання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</w:t>
            </w:r>
            <w:r w:rsidRPr="005707E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рироднич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им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наукам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45351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45351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Математична інформатика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453512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 та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її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застосування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у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</w:t>
            </w:r>
            <w:r w:rsidRPr="005707EE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рироднич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их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наука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84D11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84D1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84D11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84D1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 xml:space="preserve">Географія Центральної </w:t>
            </w:r>
            <w:r w:rsidRPr="00E84D1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lastRenderedPageBreak/>
              <w:t>Європи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E84D11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E84D11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15105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15105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Токсикологія та аналіз шкідливих речовин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15105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15105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15105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15105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15105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15105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15105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151054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Комп’ютерне моделювання у фізиці и техніці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Прикладна інформатика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</w:t>
            </w: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нформаційні системи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Прикладна фізика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и</w:t>
            </w: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кладні нанотехнології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Викладання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Хімія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9102E9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9102E9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rPr>
          <w:trHeight w:val="812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Викладання у другій ступені початкової школи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Географія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Хі</w:t>
            </w:r>
            <w:r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м</w:t>
            </w: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200E32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200E32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Біологія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1375E" w:rsidRPr="0034608F" w:rsidTr="00C04A74">
        <w:trPr>
          <w:trHeight w:val="1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textDirection w:val="btLr"/>
            <w:hideMark/>
          </w:tcPr>
          <w:p w:rsidR="00D1375E" w:rsidRPr="00200E32" w:rsidRDefault="00D1375E" w:rsidP="00C04A74">
            <w:pPr>
              <w:ind w:left="113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00E32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Інститут медичних досліджень</w:t>
            </w:r>
          </w:p>
          <w:p w:rsidR="00D1375E" w:rsidRPr="00BB01A4" w:rsidRDefault="00D1375E" w:rsidP="00C04A74">
            <w:pPr>
              <w:spacing w:after="300" w:line="240" w:lineRule="auto"/>
              <w:ind w:left="113" w:right="113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Санітарія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Загальна медична сестра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Спеціалізація в охороні здоров'я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Фізіотерапія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D9D9D9" w:themeColor="background1" w:themeShade="D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4" w:space="0" w:color="D9D9D9" w:themeColor="background1" w:themeShade="D9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1375E" w:rsidRPr="0034608F" w:rsidTr="00C04A74"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850A1F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</w:pPr>
            <w:proofErr w:type="spellStart"/>
            <w:r w:rsidRPr="00850A1F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Працетерапія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75E" w:rsidRPr="00BB01A4" w:rsidRDefault="00D1375E" w:rsidP="00C04A74">
            <w:pPr>
              <w:spacing w:after="30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B01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D1375E" w:rsidRPr="00BB01A4" w:rsidRDefault="00D1375E" w:rsidP="00C0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1F5" w:rsidRPr="00B121F5" w:rsidRDefault="00B121F5" w:rsidP="004F0DE1">
      <w:pPr>
        <w:rPr>
          <w:lang w:val="uk-UA"/>
        </w:rPr>
      </w:pPr>
    </w:p>
    <w:p w:rsidR="004F0DE1" w:rsidRPr="00B121F5" w:rsidRDefault="004F0DE1" w:rsidP="00897EED">
      <w:pPr>
        <w:rPr>
          <w:lang w:val="uk-UA"/>
        </w:rPr>
      </w:pPr>
    </w:p>
    <w:p w:rsidR="00D34861" w:rsidRPr="00B121F5" w:rsidRDefault="00D34861" w:rsidP="00897EED">
      <w:pPr>
        <w:rPr>
          <w:lang w:val="uk-UA"/>
        </w:rPr>
      </w:pPr>
    </w:p>
    <w:sectPr w:rsidR="00D34861" w:rsidRPr="00B1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E0"/>
    <w:multiLevelType w:val="hybridMultilevel"/>
    <w:tmpl w:val="3D76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54B"/>
    <w:multiLevelType w:val="multilevel"/>
    <w:tmpl w:val="E58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D"/>
    <w:rsid w:val="00014612"/>
    <w:rsid w:val="00030E21"/>
    <w:rsid w:val="00035BB8"/>
    <w:rsid w:val="00060731"/>
    <w:rsid w:val="00127ADC"/>
    <w:rsid w:val="00140DD9"/>
    <w:rsid w:val="00194735"/>
    <w:rsid w:val="00283D8A"/>
    <w:rsid w:val="002B6820"/>
    <w:rsid w:val="002C55CE"/>
    <w:rsid w:val="002D30AC"/>
    <w:rsid w:val="00311526"/>
    <w:rsid w:val="003403AB"/>
    <w:rsid w:val="0034608F"/>
    <w:rsid w:val="00357CC0"/>
    <w:rsid w:val="00364056"/>
    <w:rsid w:val="003A1852"/>
    <w:rsid w:val="0046617E"/>
    <w:rsid w:val="004C6913"/>
    <w:rsid w:val="004E586C"/>
    <w:rsid w:val="004F0DE1"/>
    <w:rsid w:val="00566F3B"/>
    <w:rsid w:val="005A77B0"/>
    <w:rsid w:val="0063302C"/>
    <w:rsid w:val="006C7E9B"/>
    <w:rsid w:val="006C7EFE"/>
    <w:rsid w:val="006E5795"/>
    <w:rsid w:val="00807AAE"/>
    <w:rsid w:val="00820DD0"/>
    <w:rsid w:val="008528BE"/>
    <w:rsid w:val="00891E93"/>
    <w:rsid w:val="00897EED"/>
    <w:rsid w:val="008D3029"/>
    <w:rsid w:val="008F5F4B"/>
    <w:rsid w:val="0093193B"/>
    <w:rsid w:val="00960806"/>
    <w:rsid w:val="009B0B80"/>
    <w:rsid w:val="009B5F0A"/>
    <w:rsid w:val="009D33B1"/>
    <w:rsid w:val="00AD66D7"/>
    <w:rsid w:val="00B121F5"/>
    <w:rsid w:val="00B17FC3"/>
    <w:rsid w:val="00B306DA"/>
    <w:rsid w:val="00BE66F4"/>
    <w:rsid w:val="00BF7644"/>
    <w:rsid w:val="00C32FBF"/>
    <w:rsid w:val="00C5745A"/>
    <w:rsid w:val="00C82E40"/>
    <w:rsid w:val="00D07CAC"/>
    <w:rsid w:val="00D1375E"/>
    <w:rsid w:val="00D34861"/>
    <w:rsid w:val="00D435A8"/>
    <w:rsid w:val="00E01D51"/>
    <w:rsid w:val="00E85391"/>
    <w:rsid w:val="00EC2B2D"/>
    <w:rsid w:val="00ED5F8B"/>
    <w:rsid w:val="00F27A5C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AB"/>
  </w:style>
  <w:style w:type="paragraph" w:styleId="1">
    <w:name w:val="heading 1"/>
    <w:basedOn w:val="a"/>
    <w:link w:val="10"/>
    <w:uiPriority w:val="9"/>
    <w:qFormat/>
    <w:rsid w:val="0089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7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D5F8B"/>
    <w:pPr>
      <w:ind w:left="720"/>
      <w:contextualSpacing/>
    </w:pPr>
  </w:style>
  <w:style w:type="paragraph" w:customStyle="1" w:styleId="rtejustify">
    <w:name w:val="rtejustify"/>
    <w:basedOn w:val="a"/>
    <w:rsid w:val="004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AB"/>
  </w:style>
  <w:style w:type="paragraph" w:styleId="1">
    <w:name w:val="heading 1"/>
    <w:basedOn w:val="a"/>
    <w:link w:val="10"/>
    <w:uiPriority w:val="9"/>
    <w:qFormat/>
    <w:rsid w:val="0089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97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5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D5F8B"/>
    <w:pPr>
      <w:ind w:left="720"/>
      <w:contextualSpacing/>
    </w:pPr>
  </w:style>
  <w:style w:type="paragraph" w:customStyle="1" w:styleId="rtejustify">
    <w:name w:val="rtejustify"/>
    <w:basedOn w:val="a"/>
    <w:rsid w:val="004E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5330-B0DD-46C2-88FB-E26628F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35</cp:revision>
  <dcterms:created xsi:type="dcterms:W3CDTF">2019-01-18T13:43:00Z</dcterms:created>
  <dcterms:modified xsi:type="dcterms:W3CDTF">2019-02-09T21:57:00Z</dcterms:modified>
</cp:coreProperties>
</file>